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1A7031" w:rsidRPr="008D0B22">
        <w:rPr>
          <w:rFonts w:cstheme="minorHAnsi"/>
          <w:b/>
          <w:sz w:val="36"/>
          <w:lang w:val="en-GB"/>
        </w:rPr>
        <w:t>6</w:t>
      </w:r>
      <w:r w:rsidR="005B4533" w:rsidRPr="008D0B22">
        <w:rPr>
          <w:rFonts w:cstheme="minorHAnsi"/>
          <w:b/>
          <w:sz w:val="36"/>
          <w:lang w:val="en-GB"/>
        </w:rPr>
        <w:t xml:space="preserve"> - </w:t>
      </w:r>
      <w:r w:rsidR="001A7031" w:rsidRPr="008D0B22">
        <w:rPr>
          <w:rFonts w:cstheme="minorHAnsi"/>
          <w:b/>
          <w:sz w:val="36"/>
          <w:lang w:val="en-GB"/>
        </w:rPr>
        <w:t>Management</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Meeting 1</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1A7031">
            <w:pPr>
              <w:spacing w:before="60" w:after="60" w:line="235" w:lineRule="auto"/>
              <w:rPr>
                <w:rFonts w:cstheme="minorHAnsi"/>
                <w:b/>
                <w:lang w:val="en-GB"/>
              </w:rPr>
            </w:pPr>
            <w:r w:rsidRPr="008D0B22">
              <w:rPr>
                <w:rFonts w:cstheme="minorHAnsi"/>
                <w:b/>
                <w:lang w:val="en-GB"/>
              </w:rPr>
              <w:t xml:space="preserve">WP </w:t>
            </w:r>
            <w:r w:rsidR="001A7031" w:rsidRPr="008D0B22">
              <w:rPr>
                <w:rFonts w:cstheme="minorHAnsi"/>
                <w:b/>
                <w:lang w:val="en-GB"/>
              </w:rPr>
              <w:t>6</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6.2 Kick-off and regular consortium meetings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AIT</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1A7031" w:rsidP="001A7031">
            <w:pPr>
              <w:spacing w:before="60" w:after="60" w:line="235" w:lineRule="auto"/>
              <w:rPr>
                <w:rFonts w:cstheme="minorHAnsi"/>
                <w:lang w:val="en-GB"/>
              </w:rPr>
            </w:pPr>
            <w:r w:rsidRPr="008D0B22">
              <w:rPr>
                <w:rFonts w:cstheme="minorHAnsi"/>
                <w:sz w:val="24"/>
                <w:lang w:val="en-GB"/>
              </w:rPr>
              <w:t>10</w:t>
            </w:r>
            <w:r w:rsidR="00910075" w:rsidRPr="008D0B22">
              <w:rPr>
                <w:rFonts w:cstheme="minorHAnsi"/>
                <w:sz w:val="24"/>
                <w:lang w:val="en-GB"/>
              </w:rPr>
              <w:t>/</w:t>
            </w:r>
            <w:r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1A7031" w:rsidP="001A7031">
            <w:pPr>
              <w:rPr>
                <w:rFonts w:cstheme="minorHAnsi"/>
                <w:lang w:val="en-GB"/>
              </w:rPr>
            </w:pPr>
            <w:r w:rsidRPr="008D0B22">
              <w:rPr>
                <w:rFonts w:cstheme="minorHAnsi"/>
                <w:lang w:val="en-GB"/>
              </w:rPr>
              <w:t>10.10</w:t>
            </w:r>
            <w:r w:rsidR="008E4720" w:rsidRPr="008D0B22">
              <w:rPr>
                <w:rFonts w:cstheme="minorHAnsi"/>
                <w:lang w:val="en-GB"/>
              </w:rPr>
              <w:t>.201</w:t>
            </w:r>
            <w:r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8D0B22" w:rsidRDefault="00A36CE7">
      <w:pPr>
        <w:pStyle w:val="TOC1"/>
        <w:tabs>
          <w:tab w:val="left" w:pos="440"/>
          <w:tab w:val="right" w:leader="dot" w:pos="9628"/>
        </w:tabs>
        <w:rPr>
          <w:rFonts w:eastAsiaTheme="minorEastAsia"/>
          <w:lang w:val="en-GB"/>
        </w:rPr>
      </w:pPr>
      <w:r w:rsidRPr="008D0B22">
        <w:rPr>
          <w:rFonts w:cstheme="minorHAnsi"/>
          <w:lang w:val="en-GB"/>
        </w:rPr>
        <w:fldChar w:fldCharType="begin"/>
      </w:r>
      <w:r w:rsidR="004B6C10" w:rsidRPr="008D0B22">
        <w:rPr>
          <w:rFonts w:cstheme="minorHAnsi"/>
          <w:lang w:val="en-GB"/>
        </w:rPr>
        <w:instrText xml:space="preserve"> TOC \o "1-3" \h \z \t "Τίτλος;4" </w:instrText>
      </w:r>
      <w:r w:rsidRPr="008D0B22">
        <w:rPr>
          <w:rFonts w:cstheme="minorHAnsi"/>
          <w:lang w:val="en-GB"/>
        </w:rPr>
        <w:fldChar w:fldCharType="separate"/>
      </w:r>
      <w:hyperlink w:anchor="_Toc507697179" w:history="1">
        <w:r w:rsidR="00813A14" w:rsidRPr="008D0B22">
          <w:rPr>
            <w:rStyle w:val="Hyperlink"/>
            <w:rFonts w:cstheme="minorHAnsi"/>
            <w:lang w:val="en-GB"/>
          </w:rPr>
          <w:t>1</w:t>
        </w:r>
        <w:r w:rsidR="00813A14" w:rsidRPr="008D0B22">
          <w:rPr>
            <w:rFonts w:eastAsiaTheme="minorEastAsia"/>
            <w:lang w:val="en-GB"/>
          </w:rPr>
          <w:tab/>
        </w:r>
        <w:r w:rsidR="00813A14" w:rsidRPr="008D0B22">
          <w:rPr>
            <w:rStyle w:val="Hyperlink"/>
            <w:rFonts w:cstheme="minorHAnsi"/>
            <w:lang w:val="en-GB"/>
          </w:rPr>
          <w:t>Executive Summary</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_Toc507697179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A36CE7">
      <w:pPr>
        <w:pStyle w:val="TOC1"/>
        <w:tabs>
          <w:tab w:val="left" w:pos="440"/>
          <w:tab w:val="right" w:leader="dot" w:pos="9628"/>
        </w:tabs>
        <w:rPr>
          <w:rFonts w:eastAsiaTheme="minorEastAsia"/>
          <w:lang w:val="en-GB"/>
        </w:rPr>
      </w:pPr>
      <w:hyperlink w:anchor="_Toc507697180" w:history="1">
        <w:r w:rsidR="00813A14" w:rsidRPr="008D0B22">
          <w:rPr>
            <w:rStyle w:val="Hyperlink"/>
            <w:rFonts w:cstheme="minorHAnsi"/>
            <w:lang w:val="en-GB"/>
          </w:rPr>
          <w:t>2</w:t>
        </w:r>
        <w:r w:rsidR="00813A14" w:rsidRPr="008D0B22">
          <w:rPr>
            <w:rFonts w:eastAsiaTheme="minorEastAsia"/>
            <w:lang w:val="en-GB"/>
          </w:rPr>
          <w:tab/>
        </w:r>
        <w:r w:rsidR="00813A14" w:rsidRPr="008D0B22">
          <w:rPr>
            <w:rStyle w:val="Hyperlink"/>
            <w:rFonts w:cstheme="minorHAnsi"/>
            <w:lang w:val="en-GB"/>
          </w:rPr>
          <w:t>Introduction</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A36CE7">
      <w:pPr>
        <w:pStyle w:val="TOC1"/>
        <w:tabs>
          <w:tab w:val="left" w:pos="440"/>
          <w:tab w:val="right" w:leader="dot" w:pos="9628"/>
        </w:tabs>
        <w:rPr>
          <w:lang w:val="en-GB"/>
        </w:rPr>
      </w:pPr>
      <w:hyperlink w:anchor="_Toc507697181" w:history="1">
        <w:r w:rsidR="00813A14" w:rsidRPr="008D0B22">
          <w:rPr>
            <w:rStyle w:val="Hyperlink"/>
            <w:rFonts w:cstheme="minorHAnsi"/>
            <w:lang w:val="en-GB"/>
          </w:rPr>
          <w:t>3</w:t>
        </w:r>
        <w:r w:rsidR="00813A14" w:rsidRPr="008D0B22">
          <w:rPr>
            <w:rFonts w:eastAsiaTheme="minorEastAsia"/>
            <w:lang w:val="en-GB"/>
          </w:rPr>
          <w:tab/>
        </w:r>
        <w:r w:rsidR="00035030" w:rsidRPr="008D0B22">
          <w:rPr>
            <w:rStyle w:val="Hyperlink"/>
            <w:rFonts w:cstheme="minorHAnsi"/>
            <w:lang w:val="en-GB"/>
          </w:rPr>
          <w:t>The Assessment Questionnaire Structure</w:t>
        </w:r>
        <w:r w:rsidR="00813A14" w:rsidRPr="008D0B22">
          <w:rPr>
            <w:webHidden/>
            <w:lang w:val="en-GB"/>
          </w:rPr>
          <w:tab/>
        </w:r>
        <w:r w:rsidRPr="008D0B22">
          <w:rPr>
            <w:webHidden/>
            <w:lang w:val="en-GB"/>
          </w:rPr>
          <w:fldChar w:fldCharType="begin"/>
        </w:r>
        <w:r w:rsidR="009A48FE"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035030" w:rsidRPr="008D0B22" w:rsidRDefault="00035030" w:rsidP="00035030">
      <w:pPr>
        <w:rPr>
          <w:webHidden/>
          <w:lang w:val="en-GB"/>
        </w:rPr>
      </w:pPr>
      <w:r w:rsidRPr="008D0B22">
        <w:rPr>
          <w:lang w:val="en-GB"/>
        </w:rPr>
        <w:t xml:space="preserve">4       Analysis of Questionnaire Results </w:t>
      </w:r>
      <w:r w:rsidRPr="008D0B22">
        <w:rPr>
          <w:webHidden/>
          <w:lang w:val="en-GB"/>
        </w:rPr>
        <w:t>............................................................................................................5</w:t>
      </w:r>
    </w:p>
    <w:p w:rsidR="00035030" w:rsidRPr="008D0B22" w:rsidRDefault="00035030" w:rsidP="00035030">
      <w:pPr>
        <w:rPr>
          <w:lang w:val="en-GB"/>
        </w:rPr>
      </w:pPr>
      <w:r w:rsidRPr="008D0B22">
        <w:rPr>
          <w:webHidden/>
          <w:lang w:val="en-GB"/>
        </w:rPr>
        <w:t>5       Conclusions …</w:t>
      </w:r>
      <w:r w:rsidR="00C66FEB" w:rsidRPr="008D0B22">
        <w:rPr>
          <w:webHidden/>
          <w:lang w:val="en-GB"/>
        </w:rPr>
        <w:t>.</w:t>
      </w:r>
      <w:r w:rsidRPr="008D0B22">
        <w:rPr>
          <w:webHidden/>
          <w:sz w:val="18"/>
          <w:szCs w:val="18"/>
          <w:lang w:val="en-GB"/>
        </w:rPr>
        <w:t>……</w:t>
      </w:r>
      <w:r w:rsidRPr="008D0B22">
        <w:rPr>
          <w:webHidden/>
          <w:lang w:val="en-GB"/>
        </w:rPr>
        <w:t>………………………………………………………………………………………………………………………………….</w:t>
      </w:r>
      <w:r w:rsidR="008D0B22">
        <w:rPr>
          <w:webHidden/>
          <w:lang w:val="en-GB"/>
        </w:rPr>
        <w:t>6</w:t>
      </w:r>
    </w:p>
    <w:p w:rsidR="004B6C10" w:rsidRPr="008D0B22" w:rsidRDefault="00A36CE7" w:rsidP="00C56CAB">
      <w:pPr>
        <w:spacing w:line="235" w:lineRule="auto"/>
        <w:rPr>
          <w:rFonts w:cstheme="minorHAnsi"/>
          <w:lang w:val="en-GB"/>
        </w:rPr>
      </w:pPr>
      <w:r w:rsidRPr="008D0B22">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This document presents the analysis aimed to assess the quality of the </w:t>
      </w:r>
      <w:r w:rsidR="00632125" w:rsidRPr="008D0B22">
        <w:rPr>
          <w:rFonts w:cstheme="minorHAnsi"/>
          <w:lang w:val="en-GB"/>
        </w:rPr>
        <w:t xml:space="preserve">kick-off meeting of MSIE 4.0 </w:t>
      </w:r>
      <w:r w:rsidR="008D0B22" w:rsidRPr="008D0B22">
        <w:rPr>
          <w:rFonts w:cstheme="minorHAnsi"/>
          <w:lang w:val="en-GB"/>
        </w:rPr>
        <w:t>partnership</w:t>
      </w:r>
      <w:r w:rsidR="00632125" w:rsidRPr="008D0B22">
        <w:rPr>
          <w:rFonts w:cstheme="minorHAnsi"/>
          <w:lang w:val="en-GB"/>
        </w:rPr>
        <w:t xml:space="preserve">, which took place in Bangkok and Pathumthani between 12 – 16.02.2018. </w:t>
      </w: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632125" w:rsidRPr="008D0B22">
        <w:rPr>
          <w:rFonts w:cstheme="minorHAnsi"/>
          <w:lang w:val="en-GB"/>
        </w:rPr>
        <w:t>24</w:t>
      </w:r>
      <w:r w:rsidRPr="008D0B22">
        <w:rPr>
          <w:rFonts w:cstheme="minorHAnsi"/>
          <w:lang w:val="en-GB"/>
        </w:rPr>
        <w:t xml:space="preserve"> participants, representing </w:t>
      </w:r>
      <w:r w:rsidR="00632125" w:rsidRPr="008D0B22">
        <w:rPr>
          <w:rFonts w:cstheme="minorHAnsi"/>
          <w:lang w:val="en-GB"/>
        </w:rPr>
        <w:t>the</w:t>
      </w:r>
      <w:r w:rsidRPr="008D0B22">
        <w:rPr>
          <w:rFonts w:cstheme="minorHAnsi"/>
          <w:lang w:val="en-GB"/>
        </w:rPr>
        <w:t xml:space="preserve"> project partners and </w:t>
      </w:r>
      <w:r w:rsidR="003469A8" w:rsidRPr="008D0B22">
        <w:rPr>
          <w:rFonts w:cstheme="minorHAnsi"/>
          <w:lang w:val="en-GB"/>
        </w:rPr>
        <w:t>other organisations. The analysis indicated that project’s</w:t>
      </w:r>
      <w:r w:rsidR="00632125" w:rsidRPr="008D0B22">
        <w:rPr>
          <w:rFonts w:cstheme="minorHAnsi"/>
          <w:lang w:val="en-GB"/>
        </w:rPr>
        <w:t xml:space="preserve"> meeting was a success, especially regarding organisation, communication and quality of presentations.</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8A111D" w:rsidRPr="008D0B22" w:rsidRDefault="008A111D" w:rsidP="008A111D">
      <w:pPr>
        <w:spacing w:line="235" w:lineRule="auto"/>
        <w:jc w:val="both"/>
        <w:rPr>
          <w:rFonts w:cstheme="minorHAnsi"/>
          <w:lang w:val="en-GB"/>
        </w:rPr>
      </w:pPr>
      <w:r w:rsidRPr="008D0B22">
        <w:rPr>
          <w:rFonts w:cstheme="minorHAnsi"/>
          <w:lang w:val="en-GB"/>
        </w:rPr>
        <w:t>Th</w:t>
      </w:r>
      <w:r w:rsidR="0071137A">
        <w:rPr>
          <w:rFonts w:cstheme="minorHAnsi"/>
          <w:lang w:val="en-GB"/>
        </w:rPr>
        <w:t>e</w:t>
      </w:r>
      <w:r w:rsidRPr="008D0B22">
        <w:rPr>
          <w:rFonts w:cstheme="minorHAnsi"/>
          <w:lang w:val="en-GB"/>
        </w:rPr>
        <w:t xml:space="preserve"> kick-off meeting of MSIE 4.0 </w:t>
      </w:r>
      <w:r w:rsidR="008D0B22" w:rsidRPr="008D0B22">
        <w:rPr>
          <w:rFonts w:cstheme="minorHAnsi"/>
          <w:lang w:val="en-GB"/>
        </w:rPr>
        <w:t>partnership</w:t>
      </w:r>
      <w:r w:rsidRPr="008D0B22">
        <w:rPr>
          <w:rFonts w:cstheme="minorHAnsi"/>
          <w:lang w:val="en-GB"/>
        </w:rPr>
        <w:t>, which took place in Bangkok and Pathumthani, was aimed to present the MSIE4.0-CBHE Project, its objectives and main activities. It also gave the opportunity to the 9 partners to get to know each other, to understand the exact role they have within the project and ensure a good ownership.</w:t>
      </w:r>
    </w:p>
    <w:p w:rsidR="008A111D" w:rsidRPr="008D0B22" w:rsidRDefault="008A111D" w:rsidP="008A111D">
      <w:pPr>
        <w:spacing w:line="235" w:lineRule="auto"/>
        <w:jc w:val="both"/>
        <w:rPr>
          <w:rFonts w:cstheme="minorHAnsi"/>
          <w:lang w:val="en-GB"/>
        </w:rPr>
      </w:pPr>
      <w:r w:rsidRPr="008D0B22">
        <w:rPr>
          <w:rFonts w:cstheme="minorHAnsi"/>
          <w:lang w:val="en-GB"/>
        </w:rPr>
        <w:t xml:space="preserve">The meeting, that brought together more than 50 participants from 4 different countries, included presentations of partners and expectations, the state of </w:t>
      </w:r>
      <w:r w:rsidR="00905C44">
        <w:rPr>
          <w:rFonts w:cstheme="minorHAnsi"/>
          <w:lang w:val="en-GB"/>
        </w:rPr>
        <w:t>art</w:t>
      </w:r>
      <w:r w:rsidRPr="008D0B22">
        <w:rPr>
          <w:rFonts w:cstheme="minorHAnsi"/>
          <w:lang w:val="en-GB"/>
        </w:rPr>
        <w:t xml:space="preserve"> regarding Southeast Asia mobility as well as </w:t>
      </w:r>
      <w:r w:rsidR="00905C44">
        <w:rPr>
          <w:rFonts w:cstheme="minorHAnsi"/>
          <w:lang w:val="en-GB"/>
        </w:rPr>
        <w:t xml:space="preserve">to </w:t>
      </w:r>
      <w:r w:rsidRPr="008D0B22">
        <w:rPr>
          <w:rFonts w:cstheme="minorHAnsi"/>
          <w:lang w:val="en-GB"/>
        </w:rPr>
        <w:t>break out groups on all work packages. Prospective activities in the project, financial management issues and communication and dissemination issues were also covered during this event.</w:t>
      </w:r>
    </w:p>
    <w:p w:rsidR="00E67866" w:rsidRPr="008D0B22" w:rsidRDefault="008A111D" w:rsidP="008A111D">
      <w:pPr>
        <w:spacing w:line="235" w:lineRule="auto"/>
        <w:jc w:val="both"/>
        <w:rPr>
          <w:rFonts w:cstheme="minorHAnsi"/>
          <w:lang w:val="en-GB"/>
        </w:rPr>
      </w:pPr>
      <w:r w:rsidRPr="008D0B22">
        <w:rPr>
          <w:rFonts w:cstheme="minorHAnsi"/>
          <w:lang w:val="en-GB"/>
        </w:rPr>
        <w:t>As a result the partners identified synergies, priorities and cooperation perspectives for each working package and planned the next steps for partners.</w:t>
      </w:r>
    </w:p>
    <w:p w:rsidR="00000E75" w:rsidRPr="008D0B22" w:rsidRDefault="00000E75" w:rsidP="00912776">
      <w:pPr>
        <w:spacing w:line="235" w:lineRule="auto"/>
        <w:jc w:val="both"/>
        <w:rPr>
          <w:rFonts w:cstheme="minorHAnsi"/>
          <w:lang w:val="en-GB"/>
        </w:rPr>
      </w:pPr>
      <w:r w:rsidRPr="008D0B22">
        <w:rPr>
          <w:rFonts w:cstheme="minorHAnsi"/>
          <w:lang w:val="en-GB"/>
        </w:rPr>
        <w:t xml:space="preserve">In order to ensure a proper quality for the </w:t>
      </w:r>
      <w:r w:rsidR="008A111D" w:rsidRPr="008D0B22">
        <w:rPr>
          <w:rFonts w:cstheme="minorHAnsi"/>
          <w:lang w:val="en-GB"/>
        </w:rPr>
        <w:t>next meetings</w:t>
      </w:r>
      <w:r w:rsidRPr="008D0B22">
        <w:rPr>
          <w:rFonts w:cstheme="minorHAnsi"/>
          <w:lang w:val="en-GB"/>
        </w:rPr>
        <w:t xml:space="preserve">, an </w:t>
      </w:r>
      <w:r w:rsidR="008A111D" w:rsidRPr="008D0B22">
        <w:rPr>
          <w:rFonts w:cstheme="minorHAnsi"/>
          <w:lang w:val="en-GB"/>
        </w:rPr>
        <w:t xml:space="preserve">event </w:t>
      </w:r>
      <w:r w:rsidRPr="008D0B22">
        <w:rPr>
          <w:rFonts w:cstheme="minorHAnsi"/>
          <w:lang w:val="en-GB"/>
        </w:rPr>
        <w:t xml:space="preserve">assessment </w:t>
      </w:r>
      <w:r w:rsidR="008633DF" w:rsidRPr="008D0B22">
        <w:rPr>
          <w:rFonts w:cstheme="minorHAnsi"/>
          <w:lang w:val="en-GB"/>
        </w:rPr>
        <w:t>questionnaire</w:t>
      </w:r>
      <w:r w:rsidRPr="008D0B22">
        <w:rPr>
          <w:rFonts w:cstheme="minorHAnsi"/>
          <w:lang w:val="en-GB"/>
        </w:rPr>
        <w:t xml:space="preserve"> was designed by partner</w:t>
      </w:r>
      <w:r w:rsidR="00E823DC" w:rsidRPr="008D0B22">
        <w:rPr>
          <w:rFonts w:cstheme="minorHAnsi"/>
          <w:lang w:val="en-GB"/>
        </w:rPr>
        <w:t>s</w:t>
      </w:r>
      <w:r w:rsidR="008A111D" w:rsidRPr="008D0B22">
        <w:rPr>
          <w:rFonts w:cstheme="minorHAnsi"/>
          <w:lang w:val="en-GB"/>
        </w:rPr>
        <w:t xml:space="preserve"> and it was used during the kick-off meeting.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9B63A8" w:rsidRPr="008D0B22">
        <w:rPr>
          <w:rFonts w:cstheme="minorHAnsi"/>
          <w:lang w:val="en-GB"/>
        </w:rPr>
        <w:t>meeting</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8D0B22" w:rsidRDefault="00803201" w:rsidP="009068A4">
      <w:pPr>
        <w:jc w:val="both"/>
        <w:rPr>
          <w:rFonts w:cstheme="minorHAnsi"/>
          <w:lang w:val="en-GB"/>
        </w:rPr>
      </w:pPr>
      <w:r w:rsidRPr="008D0B22">
        <w:rPr>
          <w:rFonts w:cstheme="minorHAnsi"/>
          <w:lang w:val="en-GB"/>
        </w:rPr>
        <w:t xml:space="preserve">The </w:t>
      </w:r>
      <w:r w:rsidR="00F1024C" w:rsidRPr="008D0B22">
        <w:rPr>
          <w:rFonts w:cstheme="minorHAnsi"/>
          <w:lang w:val="en-GB"/>
        </w:rPr>
        <w:t xml:space="preserve">questionnaire was filled by </w:t>
      </w:r>
      <w:r w:rsidR="009215B8" w:rsidRPr="008D0B22">
        <w:rPr>
          <w:rFonts w:cstheme="minorHAnsi"/>
          <w:lang w:val="en-GB"/>
        </w:rPr>
        <w:t>24</w:t>
      </w:r>
      <w:r w:rsidR="00F1024C" w:rsidRPr="008D0B22">
        <w:rPr>
          <w:rFonts w:cstheme="minorHAnsi"/>
          <w:lang w:val="en-GB"/>
        </w:rPr>
        <w:t xml:space="preserve"> participants, representing</w:t>
      </w:r>
      <w:r w:rsidR="009215B8" w:rsidRPr="008D0B22">
        <w:rPr>
          <w:rFonts w:cstheme="minorHAnsi"/>
          <w:lang w:val="en-GB"/>
        </w:rPr>
        <w:t xml:space="preserve"> the partners, but also </w:t>
      </w:r>
      <w:r w:rsidR="008D0B22" w:rsidRPr="008D0B22">
        <w:rPr>
          <w:rFonts w:cstheme="minorHAnsi"/>
          <w:lang w:val="en-GB"/>
        </w:rPr>
        <w:t>by</w:t>
      </w:r>
      <w:r w:rsidR="009068A4" w:rsidRPr="008D0B22">
        <w:rPr>
          <w:rFonts w:cstheme="minorHAnsi"/>
          <w:lang w:val="en-GB"/>
        </w:rPr>
        <w:t xml:space="preserve"> </w:t>
      </w:r>
      <w:r w:rsidR="00B33846">
        <w:rPr>
          <w:rFonts w:cstheme="minorHAnsi"/>
          <w:lang w:val="en-GB"/>
        </w:rPr>
        <w:t xml:space="preserve">other </w:t>
      </w:r>
      <w:r w:rsidR="009215B8" w:rsidRPr="008D0B22">
        <w:rPr>
          <w:rFonts w:cstheme="minorHAnsi"/>
          <w:lang w:val="en-GB"/>
        </w:rPr>
        <w:t xml:space="preserve"> guests to the </w:t>
      </w:r>
      <w:r w:rsidR="009215B8" w:rsidRPr="00836674">
        <w:rPr>
          <w:rFonts w:cstheme="minorHAnsi"/>
          <w:lang w:val="en-GB"/>
        </w:rPr>
        <w:t>event.</w:t>
      </w:r>
      <w:r w:rsidR="009068A4" w:rsidRPr="00836674">
        <w:rPr>
          <w:rFonts w:cstheme="minorHAnsi"/>
          <w:lang w:val="en-GB"/>
        </w:rPr>
        <w:t xml:space="preserve"> The gender structure was female (7) and male (14). (Not all </w:t>
      </w:r>
      <w:r w:rsidR="004A5383" w:rsidRPr="00836674">
        <w:rPr>
          <w:rFonts w:cstheme="minorHAnsi"/>
          <w:lang w:val="en-GB"/>
        </w:rPr>
        <w:t>respondents</w:t>
      </w:r>
      <w:r w:rsidR="009068A4" w:rsidRPr="00836674">
        <w:rPr>
          <w:rFonts w:cstheme="minorHAnsi"/>
          <w:lang w:val="en-GB"/>
        </w:rPr>
        <w:t xml:space="preserve"> filled this questionnaire item.)</w:t>
      </w:r>
      <w:r w:rsidR="004A5383" w:rsidRPr="00836674">
        <w:rPr>
          <w:rFonts w:cstheme="minorHAnsi"/>
          <w:lang w:val="en-GB"/>
        </w:rPr>
        <w:t xml:space="preserve"> The mean age of respondents was 45.1 years (youngest: 31; oldest: 70). The nationality of respondents was: Polish (3); </w:t>
      </w:r>
      <w:r w:rsidR="008D0B22" w:rsidRPr="00836674">
        <w:rPr>
          <w:rFonts w:cstheme="minorHAnsi"/>
          <w:lang w:val="en-GB"/>
        </w:rPr>
        <w:t>Portuguese</w:t>
      </w:r>
      <w:r w:rsidR="004A5383" w:rsidRPr="00836674">
        <w:rPr>
          <w:rFonts w:cstheme="minorHAnsi"/>
          <w:lang w:val="en-GB"/>
        </w:rPr>
        <w:t xml:space="preserve"> (3); Romanian (4) and Thai (14). The </w:t>
      </w:r>
      <w:r w:rsidR="008D0B22" w:rsidRPr="00836674">
        <w:rPr>
          <w:rFonts w:cstheme="minorHAnsi"/>
          <w:lang w:val="en-GB"/>
        </w:rPr>
        <w:t>professional</w:t>
      </w:r>
      <w:r w:rsidR="004A5383" w:rsidRPr="00836674">
        <w:rPr>
          <w:rFonts w:cstheme="minorHAnsi"/>
          <w:lang w:val="en-GB"/>
        </w:rPr>
        <w:t xml:space="preserve"> structure of</w:t>
      </w:r>
      <w:r w:rsidR="004A5383" w:rsidRPr="008D0B22">
        <w:rPr>
          <w:rFonts w:cstheme="minorHAnsi"/>
          <w:lang w:val="en-GB"/>
        </w:rPr>
        <w:t xml:space="preserve"> respondents was: professors (5); associate professors (3); lecturers (3)</w:t>
      </w:r>
      <w:r w:rsidR="00D510A1" w:rsidRPr="008D0B22">
        <w:rPr>
          <w:rFonts w:cstheme="minorHAnsi"/>
          <w:lang w:val="en-GB"/>
        </w:rPr>
        <w:t xml:space="preserve">; assistant professors (2), doctoral students, research assistants and one executive director. </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7C153A" w:rsidRPr="008D0B22" w:rsidTr="003F5EC4">
        <w:tc>
          <w:tcPr>
            <w:tcW w:w="8188" w:type="dxa"/>
          </w:tcPr>
          <w:p w:rsidR="007C153A" w:rsidRPr="008D0B22" w:rsidRDefault="007C153A"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4.67</w:t>
            </w:r>
          </w:p>
        </w:tc>
      </w:tr>
      <w:tr w:rsidR="007C153A" w:rsidRPr="008D0B22" w:rsidTr="003F5EC4">
        <w:tc>
          <w:tcPr>
            <w:tcW w:w="8188" w:type="dxa"/>
          </w:tcPr>
          <w:p w:rsidR="007C153A" w:rsidRPr="008D0B22" w:rsidRDefault="007C153A"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4.67</w:t>
            </w:r>
          </w:p>
        </w:tc>
      </w:tr>
      <w:tr w:rsidR="007C153A" w:rsidRPr="008D0B22" w:rsidTr="003F5EC4">
        <w:tc>
          <w:tcPr>
            <w:tcW w:w="8188" w:type="dxa"/>
          </w:tcPr>
          <w:p w:rsidR="007C153A" w:rsidRPr="008D0B22" w:rsidRDefault="007C153A" w:rsidP="00384217">
            <w:pPr>
              <w:spacing w:before="60" w:after="60"/>
              <w:rPr>
                <w:lang w:val="en-GB"/>
              </w:rPr>
            </w:pPr>
            <w:r w:rsidRPr="008D0B22">
              <w:rPr>
                <w:rFonts w:cstheme="minorHAnsi"/>
                <w:lang w:val="en-GB"/>
              </w:rPr>
              <w:t>The venue and facilities</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4.50</w:t>
            </w:r>
          </w:p>
        </w:tc>
      </w:tr>
      <w:tr w:rsidR="007C153A" w:rsidRPr="008D0B22" w:rsidTr="003F5EC4">
        <w:tc>
          <w:tcPr>
            <w:tcW w:w="8188" w:type="dxa"/>
          </w:tcPr>
          <w:p w:rsidR="007C153A" w:rsidRPr="008D0B22" w:rsidRDefault="007C153A" w:rsidP="00384217">
            <w:pPr>
              <w:spacing w:before="60" w:after="60"/>
              <w:rPr>
                <w:lang w:val="en-GB"/>
              </w:rPr>
            </w:pPr>
            <w:r w:rsidRPr="008D0B22">
              <w:rPr>
                <w:rFonts w:cstheme="minorHAnsi"/>
                <w:lang w:val="en-GB"/>
              </w:rPr>
              <w:t>The presentations</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4.58</w:t>
            </w:r>
          </w:p>
        </w:tc>
      </w:tr>
      <w:tr w:rsidR="007C153A" w:rsidRPr="008D0B22" w:rsidTr="003F5EC4">
        <w:tc>
          <w:tcPr>
            <w:tcW w:w="8188" w:type="dxa"/>
          </w:tcPr>
          <w:p w:rsidR="007C153A" w:rsidRPr="008D0B22" w:rsidRDefault="007C153A" w:rsidP="00384217">
            <w:pPr>
              <w:spacing w:before="60" w:after="60"/>
              <w:rPr>
                <w:lang w:val="en-GB"/>
              </w:rPr>
            </w:pPr>
            <w:r w:rsidRPr="008D0B22">
              <w:rPr>
                <w:rFonts w:cstheme="minorHAnsi"/>
                <w:lang w:val="en-GB"/>
              </w:rPr>
              <w:t>The discussions</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4.38</w:t>
            </w:r>
          </w:p>
        </w:tc>
      </w:tr>
      <w:tr w:rsidR="007C153A" w:rsidRPr="008D0B22" w:rsidTr="003F5EC4">
        <w:tc>
          <w:tcPr>
            <w:tcW w:w="8188" w:type="dxa"/>
          </w:tcPr>
          <w:p w:rsidR="007C153A" w:rsidRPr="008D0B22" w:rsidRDefault="007C153A"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4.46</w:t>
            </w:r>
          </w:p>
        </w:tc>
      </w:tr>
      <w:tr w:rsidR="007C153A" w:rsidRPr="008D0B22" w:rsidTr="003F5EC4">
        <w:tc>
          <w:tcPr>
            <w:tcW w:w="8188" w:type="dxa"/>
          </w:tcPr>
          <w:p w:rsidR="007C153A" w:rsidRPr="008D0B22" w:rsidRDefault="007C153A"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4.50</w:t>
            </w:r>
          </w:p>
        </w:tc>
      </w:tr>
      <w:tr w:rsidR="007C153A" w:rsidRPr="008D0B22" w:rsidTr="003F5EC4">
        <w:tc>
          <w:tcPr>
            <w:tcW w:w="8188" w:type="dxa"/>
          </w:tcPr>
          <w:p w:rsidR="007C153A" w:rsidRPr="008D0B22" w:rsidRDefault="007C153A"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bottom"/>
          </w:tcPr>
          <w:p w:rsidR="007C153A" w:rsidRPr="008D0B22" w:rsidRDefault="007C153A" w:rsidP="007C153A">
            <w:pPr>
              <w:spacing w:before="60" w:after="60"/>
              <w:jc w:val="center"/>
              <w:rPr>
                <w:rFonts w:ascii="Calibri" w:hAnsi="Calibri"/>
                <w:color w:val="000000"/>
                <w:lang w:val="en-GB"/>
              </w:rPr>
            </w:pPr>
            <w:r w:rsidRPr="008D0B22">
              <w:rPr>
                <w:rFonts w:ascii="Calibri" w:hAnsi="Calibri"/>
                <w:color w:val="000000"/>
                <w:lang w:val="en-GB"/>
              </w:rPr>
              <w:t>4.71</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CA5869" w:rsidRPr="008D0B22">
        <w:rPr>
          <w:rFonts w:cstheme="minorHAnsi"/>
          <w:lang w:val="en-GB"/>
        </w:rPr>
        <w:t>e of the results was between 0.</w:t>
      </w:r>
      <w:r w:rsidR="006A1B63" w:rsidRPr="008D0B22">
        <w:rPr>
          <w:rFonts w:cstheme="minorHAnsi"/>
          <w:lang w:val="en-GB"/>
        </w:rPr>
        <w:t>23</w:t>
      </w:r>
      <w:r w:rsidRPr="008D0B22">
        <w:rPr>
          <w:rFonts w:cstheme="minorHAnsi"/>
          <w:lang w:val="en-GB"/>
        </w:rPr>
        <w:t xml:space="preserve"> – 0.</w:t>
      </w:r>
      <w:r w:rsidR="006A1B63" w:rsidRPr="008D0B22">
        <w:rPr>
          <w:rFonts w:cstheme="minorHAnsi"/>
          <w:lang w:val="en-GB"/>
        </w:rPr>
        <w:t>52</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B45144" w:rsidRPr="008D0B22" w:rsidRDefault="00B45144" w:rsidP="00633686">
      <w:pPr>
        <w:spacing w:line="235" w:lineRule="auto"/>
        <w:jc w:val="both"/>
        <w:rPr>
          <w:rFonts w:cstheme="minorHAnsi"/>
          <w:lang w:val="en-GB"/>
        </w:rPr>
      </w:pPr>
      <w:r w:rsidRPr="008D0B22">
        <w:rPr>
          <w:rFonts w:cstheme="minorHAnsi"/>
          <w:lang w:val="en-GB"/>
        </w:rPr>
        <w:t>Overall, the results were very good. The means were above 4.5 with two exceptions: “Discussions” and “The information I got will be of immediate use to me.” That means some arguments were not appropriate and some participants were not well prepared to discuss. The relative lower score obtained by “The information I got</w:t>
      </w:r>
      <w:r w:rsidR="001E3234" w:rsidRPr="008D0B22">
        <w:rPr>
          <w:rFonts w:cstheme="minorHAnsi"/>
          <w:lang w:val="en-GB"/>
        </w:rPr>
        <w:t xml:space="preserve"> will be of immediate use to me</w:t>
      </w:r>
      <w:r w:rsidRPr="008D0B22">
        <w:rPr>
          <w:rFonts w:cstheme="minorHAnsi"/>
          <w:lang w:val="en-GB"/>
        </w:rPr>
        <w:t xml:space="preserve">” is explained by the fact the industry representatives felt that the industry and private sector were somehow neglected. </w:t>
      </w:r>
    </w:p>
    <w:p w:rsidR="00B45144" w:rsidRPr="008D0B22" w:rsidRDefault="001E3234" w:rsidP="00633686">
      <w:pPr>
        <w:spacing w:line="235" w:lineRule="auto"/>
        <w:jc w:val="both"/>
        <w:rPr>
          <w:rFonts w:cstheme="minorHAnsi"/>
          <w:lang w:val="en-GB"/>
        </w:rPr>
      </w:pPr>
      <w:r w:rsidRPr="008D0B22">
        <w:rPr>
          <w:rFonts w:cstheme="minorHAnsi"/>
          <w:lang w:val="en-GB"/>
        </w:rPr>
        <w:lastRenderedPageBreak/>
        <w:t>47.6% of the respondents participated at a similar event before.</w:t>
      </w:r>
    </w:p>
    <w:p w:rsidR="005C4F14" w:rsidRPr="008D0B22" w:rsidRDefault="009B29C5" w:rsidP="00633686">
      <w:pPr>
        <w:spacing w:line="235" w:lineRule="auto"/>
        <w:jc w:val="both"/>
        <w:rPr>
          <w:rFonts w:cstheme="minorHAnsi"/>
          <w:lang w:val="en-GB"/>
        </w:rPr>
      </w:pPr>
      <w:r w:rsidRPr="008D0B22">
        <w:rPr>
          <w:rFonts w:cstheme="minorHAnsi"/>
          <w:lang w:val="en-GB"/>
        </w:rPr>
        <w:t xml:space="preserve">There were recorded </w:t>
      </w:r>
      <w:r w:rsidR="005C4F14" w:rsidRPr="008D0B22">
        <w:rPr>
          <w:rFonts w:cstheme="minorHAnsi"/>
          <w:lang w:val="en-GB"/>
        </w:rPr>
        <w:t xml:space="preserve">several </w:t>
      </w:r>
      <w:r w:rsidRPr="008D0B22">
        <w:rPr>
          <w:rFonts w:cstheme="minorHAnsi"/>
          <w:lang w:val="en-GB"/>
        </w:rPr>
        <w:t xml:space="preserve">comments </w:t>
      </w:r>
      <w:r w:rsidR="00BE0704" w:rsidRPr="008D0B22">
        <w:rPr>
          <w:rFonts w:cstheme="minorHAnsi"/>
          <w:lang w:val="en-GB"/>
        </w:rPr>
        <w:t xml:space="preserve">which were </w:t>
      </w:r>
      <w:r w:rsidR="00BE3A1B" w:rsidRPr="008D0B22">
        <w:rPr>
          <w:rFonts w:cstheme="minorHAnsi"/>
          <w:lang w:val="en-GB"/>
        </w:rPr>
        <w:t>grouped</w:t>
      </w:r>
      <w:r w:rsidR="00BE0704" w:rsidRPr="008D0B22">
        <w:rPr>
          <w:rFonts w:cstheme="minorHAnsi"/>
          <w:lang w:val="en-GB"/>
        </w:rPr>
        <w:t xml:space="preserve"> according to their subject.</w:t>
      </w:r>
      <w:r w:rsidRPr="008D0B22">
        <w:rPr>
          <w:rFonts w:cstheme="minorHAnsi"/>
          <w:lang w:val="en-GB"/>
        </w:rPr>
        <w:t xml:space="preserve"> </w:t>
      </w:r>
    </w:p>
    <w:p w:rsidR="001E3234" w:rsidRPr="008D0B22" w:rsidRDefault="0055621F" w:rsidP="0055621F">
      <w:pPr>
        <w:spacing w:after="0"/>
        <w:jc w:val="both"/>
        <w:rPr>
          <w:rFonts w:cstheme="minorHAnsi"/>
          <w:b/>
          <w:lang w:val="en-GB"/>
        </w:rPr>
      </w:pPr>
      <w:r w:rsidRPr="008D0B22">
        <w:rPr>
          <w:rFonts w:cstheme="minorHAnsi"/>
          <w:b/>
          <w:lang w:val="en-GB"/>
        </w:rPr>
        <w:t xml:space="preserve">Comments regarding </w:t>
      </w:r>
      <w:r w:rsidR="001E3234" w:rsidRPr="008D0B22">
        <w:rPr>
          <w:rFonts w:cstheme="minorHAnsi"/>
          <w:b/>
          <w:lang w:val="en-GB"/>
        </w:rPr>
        <w:t>the event’s strengths and enjoyed activities:</w:t>
      </w:r>
    </w:p>
    <w:p w:rsidR="001E3234" w:rsidRPr="008D0B22" w:rsidRDefault="0055621F" w:rsidP="001E3234">
      <w:pPr>
        <w:pStyle w:val="ListParagraph"/>
        <w:numPr>
          <w:ilvl w:val="0"/>
          <w:numId w:val="14"/>
        </w:numPr>
        <w:spacing w:line="235" w:lineRule="auto"/>
        <w:jc w:val="both"/>
        <w:rPr>
          <w:rFonts w:cstheme="minorHAnsi"/>
          <w:b/>
          <w:lang w:val="en-GB"/>
        </w:rPr>
      </w:pPr>
      <w:r w:rsidRPr="008D0B22">
        <w:rPr>
          <w:rFonts w:cstheme="minorHAnsi"/>
          <w:lang w:val="en-GB"/>
        </w:rPr>
        <w:t>“</w:t>
      </w:r>
      <w:r w:rsidR="001E3234" w:rsidRPr="008D0B22">
        <w:rPr>
          <w:rFonts w:cstheme="minorHAnsi"/>
          <w:lang w:val="en-GB"/>
        </w:rPr>
        <w:t>Good organization!”</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“Good collaboration!”</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“Good communication!”</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3F5EC4" w:rsidRPr="008D0B22">
        <w:rPr>
          <w:rFonts w:cstheme="minorHAnsi"/>
          <w:lang w:val="en-GB"/>
        </w:rPr>
        <w:t xml:space="preserve">Presence </w:t>
      </w:r>
      <w:r w:rsidRPr="008D0B22">
        <w:rPr>
          <w:rFonts w:cstheme="minorHAnsi"/>
          <w:lang w:val="en-GB"/>
        </w:rPr>
        <w:t xml:space="preserve">of people from industry” </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“Quality of discussions”</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“International collaboration”</w:t>
      </w:r>
    </w:p>
    <w:p w:rsidR="005C4F14" w:rsidRPr="008D0B22" w:rsidRDefault="005C4F14" w:rsidP="001E3234">
      <w:pPr>
        <w:spacing w:line="235" w:lineRule="auto"/>
        <w:jc w:val="both"/>
        <w:rPr>
          <w:rFonts w:cstheme="minorHAnsi"/>
          <w:b/>
          <w:lang w:val="en-GB"/>
        </w:rPr>
      </w:pPr>
      <w:r w:rsidRPr="008D0B22">
        <w:rPr>
          <w:rFonts w:cstheme="minorHAnsi"/>
          <w:b/>
          <w:lang w:val="en-GB"/>
        </w:rPr>
        <w:t xml:space="preserve">Comments regarding </w:t>
      </w:r>
      <w:r w:rsidR="003F5EC4" w:rsidRPr="008D0B22">
        <w:rPr>
          <w:rFonts w:cstheme="minorHAnsi"/>
          <w:b/>
          <w:lang w:val="en-GB"/>
        </w:rPr>
        <w:t>event improvement</w:t>
      </w:r>
      <w:r w:rsidRPr="008D0B22">
        <w:rPr>
          <w:rFonts w:cstheme="minorHAnsi"/>
          <w:b/>
          <w:lang w:val="en-GB"/>
        </w:rPr>
        <w:t>:</w:t>
      </w:r>
    </w:p>
    <w:p w:rsidR="003F5EC4" w:rsidRPr="008D0B22" w:rsidRDefault="005C4F14" w:rsidP="003F5EC4">
      <w:pPr>
        <w:pStyle w:val="ListParagraph"/>
        <w:numPr>
          <w:ilvl w:val="0"/>
          <w:numId w:val="13"/>
        </w:numPr>
        <w:spacing w:after="0"/>
        <w:jc w:val="both"/>
        <w:rPr>
          <w:lang w:val="en-GB"/>
        </w:rPr>
      </w:pPr>
      <w:r w:rsidRPr="008D0B22">
        <w:rPr>
          <w:rFonts w:cstheme="minorHAnsi"/>
          <w:lang w:val="en-GB"/>
        </w:rPr>
        <w:t>“</w:t>
      </w:r>
      <w:r w:rsidR="003F5EC4" w:rsidRPr="008D0B22">
        <w:rPr>
          <w:rFonts w:cstheme="minorHAnsi"/>
          <w:lang w:val="en-GB"/>
        </w:rPr>
        <w:t>Program to tight; too many journeys”</w:t>
      </w:r>
    </w:p>
    <w:p w:rsidR="003F5EC4" w:rsidRPr="008D0B22" w:rsidRDefault="003F5EC4" w:rsidP="003F5EC4">
      <w:pPr>
        <w:pStyle w:val="ListParagraph"/>
        <w:numPr>
          <w:ilvl w:val="0"/>
          <w:numId w:val="13"/>
        </w:numPr>
        <w:spacing w:after="0"/>
        <w:jc w:val="both"/>
        <w:rPr>
          <w:lang w:val="en-GB"/>
        </w:rPr>
      </w:pPr>
      <w:r w:rsidRPr="008D0B22">
        <w:rPr>
          <w:lang w:val="en-GB"/>
        </w:rPr>
        <w:t>“Session 13 was too long”</w:t>
      </w:r>
    </w:p>
    <w:p w:rsidR="003F5EC4" w:rsidRPr="008D0B22" w:rsidRDefault="003F5EC4" w:rsidP="003F5EC4">
      <w:pPr>
        <w:pStyle w:val="ListParagraph"/>
        <w:numPr>
          <w:ilvl w:val="0"/>
          <w:numId w:val="13"/>
        </w:numPr>
        <w:spacing w:after="0"/>
        <w:jc w:val="both"/>
        <w:rPr>
          <w:lang w:val="en-GB"/>
        </w:rPr>
      </w:pPr>
      <w:r w:rsidRPr="008D0B22">
        <w:rPr>
          <w:lang w:val="en-GB"/>
        </w:rPr>
        <w:t>“Too many presentations”</w:t>
      </w:r>
    </w:p>
    <w:p w:rsidR="003F5EC4" w:rsidRPr="008D0B22" w:rsidRDefault="003F5EC4" w:rsidP="003F5EC4">
      <w:pPr>
        <w:pStyle w:val="ListParagraph"/>
        <w:numPr>
          <w:ilvl w:val="0"/>
          <w:numId w:val="13"/>
        </w:numPr>
        <w:spacing w:after="0"/>
        <w:jc w:val="both"/>
        <w:rPr>
          <w:lang w:val="en-GB"/>
        </w:rPr>
      </w:pPr>
      <w:r w:rsidRPr="008D0B22">
        <w:rPr>
          <w:lang w:val="en-GB"/>
        </w:rPr>
        <w:t>“It should be shorter”</w:t>
      </w:r>
    </w:p>
    <w:p w:rsidR="003F5EC4" w:rsidRPr="008D0B22" w:rsidRDefault="003F5EC4" w:rsidP="003F5EC4">
      <w:pPr>
        <w:pStyle w:val="ListParagraph"/>
        <w:numPr>
          <w:ilvl w:val="0"/>
          <w:numId w:val="13"/>
        </w:numPr>
        <w:spacing w:after="0"/>
        <w:jc w:val="both"/>
        <w:rPr>
          <w:lang w:val="en-GB"/>
        </w:rPr>
      </w:pPr>
      <w:r w:rsidRPr="008D0B22">
        <w:rPr>
          <w:lang w:val="en-GB"/>
        </w:rPr>
        <w:t xml:space="preserve"> “More discussions about private sector”</w:t>
      </w:r>
    </w:p>
    <w:p w:rsidR="003F5EC4" w:rsidRPr="008D0B22" w:rsidRDefault="003F5EC4" w:rsidP="003F5EC4">
      <w:pPr>
        <w:spacing w:before="120" w:after="0"/>
        <w:jc w:val="both"/>
        <w:rPr>
          <w:lang w:val="en-GB"/>
        </w:rPr>
      </w:pPr>
      <w:r w:rsidRPr="008D0B22">
        <w:rPr>
          <w:lang w:val="en-GB"/>
        </w:rPr>
        <w:t>Most of the respondents were very satisfied with the organization of event, the collaboration between participants and the quality of discussions. The most dissatisfying aspect was the length of the event. Because the event’s length is imposed in a certain degree by the EU programme scheme, it cannot be shortened. What it can be done in the future is to include more diverse activities</w:t>
      </w:r>
      <w:r w:rsidR="00E2199B" w:rsidRPr="008D0B22">
        <w:rPr>
          <w:lang w:val="en-GB"/>
        </w:rPr>
        <w:t xml:space="preserve"> in such events</w:t>
      </w:r>
      <w:r w:rsidRPr="008D0B22">
        <w:rPr>
          <w:lang w:val="en-GB"/>
        </w:rPr>
        <w:t>.</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3F5EC4"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 kick-off meeting</w:t>
      </w:r>
      <w:r w:rsidRPr="008D0B22">
        <w:rPr>
          <w:rFonts w:cstheme="minorHAnsi"/>
          <w:lang w:val="en-GB"/>
        </w:rPr>
        <w:t xml:space="preserve">. </w:t>
      </w:r>
      <w:r w:rsidR="003F5EC4" w:rsidRPr="008D0B22">
        <w:rPr>
          <w:rFonts w:cstheme="minorHAnsi"/>
          <w:lang w:val="en-GB"/>
        </w:rPr>
        <w:t>24</w:t>
      </w:r>
      <w:r w:rsidRPr="008D0B22">
        <w:rPr>
          <w:rFonts w:cstheme="minorHAnsi"/>
          <w:lang w:val="en-GB"/>
        </w:rPr>
        <w:t xml:space="preserve"> participants from </w:t>
      </w:r>
      <w:r w:rsidR="008407F6" w:rsidRPr="008D0B22">
        <w:rPr>
          <w:rFonts w:cstheme="minorHAnsi"/>
          <w:lang w:val="en-GB"/>
        </w:rPr>
        <w:t xml:space="preserve">all </w:t>
      </w:r>
      <w:r w:rsidRPr="008D0B22">
        <w:rPr>
          <w:rFonts w:cstheme="minorHAnsi"/>
          <w:lang w:val="en-GB"/>
        </w:rPr>
        <w:t xml:space="preserve">partners and other organisations filled the questionnaire. The results indicated that the </w:t>
      </w:r>
      <w:r w:rsidR="003F5EC4" w:rsidRPr="008D0B22">
        <w:rPr>
          <w:rFonts w:cstheme="minorHAnsi"/>
          <w:lang w:val="en-GB"/>
        </w:rPr>
        <w:t xml:space="preserve">event was well organized, the participants’ collaboration was efficient and discussions reached the desired quality. </w:t>
      </w:r>
    </w:p>
    <w:p w:rsidR="00D91492" w:rsidRPr="008D0B22" w:rsidRDefault="00B5216C" w:rsidP="00633686">
      <w:pPr>
        <w:spacing w:line="235" w:lineRule="auto"/>
        <w:jc w:val="both"/>
        <w:rPr>
          <w:rFonts w:cstheme="minorHAnsi"/>
          <w:lang w:val="en-GB"/>
        </w:rPr>
      </w:pPr>
      <w:r w:rsidRPr="008D0B22">
        <w:rPr>
          <w:rFonts w:cstheme="minorHAnsi"/>
          <w:lang w:val="en-GB"/>
        </w:rPr>
        <w:t xml:space="preserve">The </w:t>
      </w:r>
      <w:r w:rsidR="003F5EC4" w:rsidRPr="008D0B22">
        <w:rPr>
          <w:rFonts w:cstheme="minorHAnsi"/>
          <w:lang w:val="en-GB"/>
        </w:rPr>
        <w:t>improvement sugg</w:t>
      </w:r>
      <w:r w:rsidR="00E2199B" w:rsidRPr="008D0B22">
        <w:rPr>
          <w:rFonts w:cstheme="minorHAnsi"/>
          <w:lang w:val="en-GB"/>
        </w:rPr>
        <w:t xml:space="preserve">ested directly (“shorten the event”) cannot be applied directly, but a more diverse </w:t>
      </w:r>
      <w:r w:rsidR="008D0B22" w:rsidRPr="008D0B22">
        <w:rPr>
          <w:rFonts w:cstheme="minorHAnsi"/>
          <w:lang w:val="en-GB"/>
        </w:rPr>
        <w:t>palette</w:t>
      </w:r>
      <w:r w:rsidR="00E2199B" w:rsidRPr="008D0B22">
        <w:rPr>
          <w:rFonts w:cstheme="minorHAnsi"/>
          <w:lang w:val="en-GB"/>
        </w:rPr>
        <w:t xml:space="preserve"> of activities can be included in such an event.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E5" w:rsidRDefault="000552E5" w:rsidP="00711931">
      <w:pPr>
        <w:spacing w:after="0"/>
      </w:pPr>
      <w:r>
        <w:separator/>
      </w:r>
    </w:p>
  </w:endnote>
  <w:endnote w:type="continuationSeparator" w:id="0">
    <w:p w:rsidR="000552E5" w:rsidRDefault="000552E5"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F5EC4" w:rsidP="008407F6">
          <w:pPr>
            <w:pStyle w:val="Footer"/>
            <w:rPr>
              <w:caps/>
              <w:color w:val="808080" w:themeColor="background1" w:themeShade="80"/>
              <w:sz w:val="18"/>
              <w:szCs w:val="18"/>
            </w:rPr>
          </w:pPr>
          <w:r w:rsidRPr="00632125">
            <w:rPr>
              <w:b/>
              <w:color w:val="365F91" w:themeColor="accent1" w:themeShade="BF"/>
              <w:sz w:val="24"/>
              <w:lang w:val="en-US"/>
            </w:rPr>
            <w:t>MD_T6.2_QAM1 (V1)</w:t>
          </w:r>
        </w:p>
      </w:tc>
      <w:tc>
        <w:tcPr>
          <w:tcW w:w="1418" w:type="dxa"/>
          <w:shd w:val="clear" w:color="auto" w:fill="auto"/>
          <w:tcMar>
            <w:top w:w="57" w:type="dxa"/>
            <w:bottom w:w="57" w:type="dxa"/>
          </w:tcMar>
          <w:vAlign w:val="center"/>
        </w:tcPr>
        <w:p w:rsidR="003F5EC4" w:rsidRPr="007F1021" w:rsidRDefault="00A36CE7"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A36CE7">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A36CE7">
                <w:rPr>
                  <w:b/>
                  <w:bCs/>
                  <w:color w:val="365F91" w:themeColor="accent1" w:themeShade="BF"/>
                  <w:sz w:val="20"/>
                  <w:lang w:val="en-GB"/>
                </w:rPr>
                <w:fldChar w:fldCharType="separate"/>
              </w:r>
              <w:r w:rsidR="00836674">
                <w:rPr>
                  <w:b/>
                  <w:bCs/>
                  <w:noProof/>
                  <w:color w:val="365F91" w:themeColor="accent1" w:themeShade="BF"/>
                  <w:sz w:val="20"/>
                  <w:lang w:val="en-GB"/>
                </w:rPr>
                <w:t>6</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A36CE7">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A36CE7">
                <w:rPr>
                  <w:b/>
                  <w:bCs/>
                  <w:color w:val="365F91" w:themeColor="accent1" w:themeShade="BF"/>
                  <w:sz w:val="20"/>
                  <w:lang w:val="en-GB"/>
                </w:rPr>
                <w:fldChar w:fldCharType="separate"/>
              </w:r>
              <w:r w:rsidR="00836674">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E5" w:rsidRDefault="000552E5" w:rsidP="00711931">
      <w:pPr>
        <w:spacing w:after="0"/>
      </w:pPr>
      <w:r>
        <w:separator/>
      </w:r>
    </w:p>
  </w:footnote>
  <w:footnote w:type="continuationSeparator" w:id="0">
    <w:p w:rsidR="000552E5" w:rsidRDefault="000552E5"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42" cy="681367"/>
                        </a:xfrm>
                        <a:prstGeom prst="rect">
                          <a:avLst/>
                        </a:prstGeom>
                        <a:noFill/>
                        <a:ln>
                          <a:noFill/>
                        </a:ln>
                      </pic:spPr>
                    </pic:pic>
                  </a:graphicData>
                </a:graphic>
              </wp:anchor>
            </w:drawing>
          </w:r>
          <w:r w:rsidR="00A36CE7" w:rsidRPr="00A36CE7">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21C9D"/>
    <w:rsid w:val="00000E75"/>
    <w:rsid w:val="000026C0"/>
    <w:rsid w:val="000211F6"/>
    <w:rsid w:val="00035030"/>
    <w:rsid w:val="000552E5"/>
    <w:rsid w:val="0006078A"/>
    <w:rsid w:val="0006279C"/>
    <w:rsid w:val="0006636F"/>
    <w:rsid w:val="000C5BA5"/>
    <w:rsid w:val="00104002"/>
    <w:rsid w:val="00115639"/>
    <w:rsid w:val="00125B4B"/>
    <w:rsid w:val="00133AFF"/>
    <w:rsid w:val="0018424D"/>
    <w:rsid w:val="001A5922"/>
    <w:rsid w:val="001A7031"/>
    <w:rsid w:val="001B2FFF"/>
    <w:rsid w:val="001C7A37"/>
    <w:rsid w:val="001E3234"/>
    <w:rsid w:val="00211246"/>
    <w:rsid w:val="002244AD"/>
    <w:rsid w:val="00224DA1"/>
    <w:rsid w:val="00225CFD"/>
    <w:rsid w:val="002268F8"/>
    <w:rsid w:val="00253FB9"/>
    <w:rsid w:val="002923E2"/>
    <w:rsid w:val="002A2A28"/>
    <w:rsid w:val="002B1AD0"/>
    <w:rsid w:val="002B65CF"/>
    <w:rsid w:val="002C654E"/>
    <w:rsid w:val="002E1898"/>
    <w:rsid w:val="00313F6D"/>
    <w:rsid w:val="003248EA"/>
    <w:rsid w:val="003343E0"/>
    <w:rsid w:val="003469A8"/>
    <w:rsid w:val="00350AA0"/>
    <w:rsid w:val="00384217"/>
    <w:rsid w:val="00385A35"/>
    <w:rsid w:val="0038734F"/>
    <w:rsid w:val="00392B95"/>
    <w:rsid w:val="003F353B"/>
    <w:rsid w:val="003F5EC4"/>
    <w:rsid w:val="00406126"/>
    <w:rsid w:val="00411776"/>
    <w:rsid w:val="004246F0"/>
    <w:rsid w:val="0045366D"/>
    <w:rsid w:val="00476D13"/>
    <w:rsid w:val="00497742"/>
    <w:rsid w:val="004A5383"/>
    <w:rsid w:val="004A68D1"/>
    <w:rsid w:val="004B6C10"/>
    <w:rsid w:val="004E458A"/>
    <w:rsid w:val="004F7880"/>
    <w:rsid w:val="00534B49"/>
    <w:rsid w:val="005510C6"/>
    <w:rsid w:val="0055621F"/>
    <w:rsid w:val="005762EB"/>
    <w:rsid w:val="00592D1F"/>
    <w:rsid w:val="005A1146"/>
    <w:rsid w:val="005B4533"/>
    <w:rsid w:val="005C4F14"/>
    <w:rsid w:val="005D414F"/>
    <w:rsid w:val="005E3E6D"/>
    <w:rsid w:val="005E5788"/>
    <w:rsid w:val="005F26AB"/>
    <w:rsid w:val="005F5D21"/>
    <w:rsid w:val="00632125"/>
    <w:rsid w:val="00633686"/>
    <w:rsid w:val="00637CB6"/>
    <w:rsid w:val="00665840"/>
    <w:rsid w:val="0067593F"/>
    <w:rsid w:val="00677B3C"/>
    <w:rsid w:val="006A1B63"/>
    <w:rsid w:val="006A2248"/>
    <w:rsid w:val="006D3194"/>
    <w:rsid w:val="00703155"/>
    <w:rsid w:val="0071137A"/>
    <w:rsid w:val="00711931"/>
    <w:rsid w:val="00716FD1"/>
    <w:rsid w:val="00721EE1"/>
    <w:rsid w:val="00734258"/>
    <w:rsid w:val="007348FA"/>
    <w:rsid w:val="00751B6B"/>
    <w:rsid w:val="007B1311"/>
    <w:rsid w:val="007B233E"/>
    <w:rsid w:val="007C153A"/>
    <w:rsid w:val="00803201"/>
    <w:rsid w:val="00813A14"/>
    <w:rsid w:val="00836674"/>
    <w:rsid w:val="008407F6"/>
    <w:rsid w:val="00842A29"/>
    <w:rsid w:val="00844CB4"/>
    <w:rsid w:val="00855432"/>
    <w:rsid w:val="00856023"/>
    <w:rsid w:val="008633DF"/>
    <w:rsid w:val="00864C3E"/>
    <w:rsid w:val="00883265"/>
    <w:rsid w:val="00886D1E"/>
    <w:rsid w:val="008A111D"/>
    <w:rsid w:val="008A3576"/>
    <w:rsid w:val="008D0B22"/>
    <w:rsid w:val="008E4720"/>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A15F7B"/>
    <w:rsid w:val="00A20193"/>
    <w:rsid w:val="00A36CE7"/>
    <w:rsid w:val="00A61988"/>
    <w:rsid w:val="00A824AE"/>
    <w:rsid w:val="00A921F3"/>
    <w:rsid w:val="00AA367C"/>
    <w:rsid w:val="00B21C9D"/>
    <w:rsid w:val="00B23A0D"/>
    <w:rsid w:val="00B27AB9"/>
    <w:rsid w:val="00B31C58"/>
    <w:rsid w:val="00B32F93"/>
    <w:rsid w:val="00B33846"/>
    <w:rsid w:val="00B3410B"/>
    <w:rsid w:val="00B45144"/>
    <w:rsid w:val="00B5216C"/>
    <w:rsid w:val="00B62A73"/>
    <w:rsid w:val="00BE0704"/>
    <w:rsid w:val="00BE3A1B"/>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D358CC"/>
    <w:rsid w:val="00D510A1"/>
    <w:rsid w:val="00D810C9"/>
    <w:rsid w:val="00D91492"/>
    <w:rsid w:val="00D944B0"/>
    <w:rsid w:val="00DB32DD"/>
    <w:rsid w:val="00DB7ED1"/>
    <w:rsid w:val="00DF096A"/>
    <w:rsid w:val="00DF2950"/>
    <w:rsid w:val="00DF601B"/>
    <w:rsid w:val="00E2199B"/>
    <w:rsid w:val="00E37223"/>
    <w:rsid w:val="00E37325"/>
    <w:rsid w:val="00E61A4F"/>
    <w:rsid w:val="00E67866"/>
    <w:rsid w:val="00E74567"/>
    <w:rsid w:val="00E759B6"/>
    <w:rsid w:val="00E81A14"/>
    <w:rsid w:val="00E823DC"/>
    <w:rsid w:val="00E84436"/>
    <w:rsid w:val="00EA1401"/>
    <w:rsid w:val="00EA1C5E"/>
    <w:rsid w:val="00EB3401"/>
    <w:rsid w:val="00F1024C"/>
    <w:rsid w:val="00F34D45"/>
    <w:rsid w:val="00F50AAB"/>
    <w:rsid w:val="00F83989"/>
    <w:rsid w:val="00F93099"/>
    <w:rsid w:val="00F95898"/>
    <w:rsid w:val="00FD1101"/>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41CAC-B68E-4384-A0C9-11995D23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139</TotalTime>
  <Pages>6</Pages>
  <Words>1131</Words>
  <Characters>6450</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Lazar</dc:creator>
  <cp:lastModifiedBy>Andrei DUMITRESCU</cp:lastModifiedBy>
  <cp:revision>23</cp:revision>
  <cp:lastPrinted>2018-09-22T14:45:00Z</cp:lastPrinted>
  <dcterms:created xsi:type="dcterms:W3CDTF">2019-10-08T11:37:00Z</dcterms:created>
  <dcterms:modified xsi:type="dcterms:W3CDTF">2019-10-11T13:28:00Z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